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186082DF" w14:textId="780A27F2" w:rsidR="009A6A64" w:rsidRPr="009A6A64" w:rsidRDefault="001B656B" w:rsidP="009A6A64">
      <w:pPr>
        <w:spacing w:line="480" w:lineRule="auto"/>
        <w:ind w:firstLine="720"/>
        <w:jc w:val="center"/>
      </w:pPr>
      <w:r>
        <w:t>Peer Investment</w:t>
      </w:r>
      <w:r w:rsidR="009A6A64" w:rsidRPr="009A6A64">
        <w:t xml:space="preserve"> SWOT Analysis</w:t>
      </w:r>
    </w:p>
    <w:p w14:paraId="6CCB5F0E" w14:textId="6C63520C"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29566F47" w14:textId="77777777" w:rsidR="00DB3A96" w:rsidRDefault="00DB3A96" w:rsidP="00DB3A96">
      <w:pPr>
        <w:spacing w:line="480" w:lineRule="auto"/>
        <w:ind w:firstLine="720"/>
        <w:jc w:val="center"/>
      </w:pPr>
    </w:p>
    <w:p w14:paraId="7615EC4F" w14:textId="77777777" w:rsidR="00DB3A96" w:rsidRDefault="00DB3A96" w:rsidP="00C359D7">
      <w:pPr>
        <w:spacing w:line="480" w:lineRule="auto"/>
      </w:pPr>
    </w:p>
    <w:p w14:paraId="1751D1E8" w14:textId="7F05F5BD" w:rsidR="00501975" w:rsidRDefault="006822DD" w:rsidP="00501975">
      <w:pPr>
        <w:spacing w:line="480" w:lineRule="auto"/>
        <w:ind w:firstLine="720"/>
        <w:jc w:val="center"/>
      </w:pPr>
      <w:r>
        <w:lastRenderedPageBreak/>
        <w:t>Peer Investment</w:t>
      </w:r>
      <w:r w:rsidR="009A6A64">
        <w:t xml:space="preserve"> SWOT Analysis</w:t>
      </w:r>
    </w:p>
    <w:p w14:paraId="366FA695" w14:textId="77777777" w:rsidR="00CF0AD4" w:rsidRPr="00CF0AD4" w:rsidRDefault="00CF0AD4" w:rsidP="00CF0AD4">
      <w:pPr>
        <w:spacing w:line="480" w:lineRule="auto"/>
        <w:ind w:firstLine="720"/>
        <w:jc w:val="center"/>
        <w:rPr>
          <w:rFonts w:eastAsia="Times New Roman"/>
        </w:rPr>
      </w:pPr>
      <w:r w:rsidRPr="00CF0AD4">
        <w:rPr>
          <w:rFonts w:eastAsia="Times New Roman"/>
        </w:rPr>
        <w:t>Introduction</w:t>
      </w:r>
    </w:p>
    <w:p w14:paraId="745679CB" w14:textId="39BFFFFD" w:rsidR="00CF0AD4" w:rsidRPr="00CF0AD4" w:rsidRDefault="00CF0AD4" w:rsidP="00CF0AD4">
      <w:pPr>
        <w:spacing w:line="480" w:lineRule="auto"/>
        <w:ind w:firstLine="720"/>
        <w:rPr>
          <w:rFonts w:eastAsia="Times New Roman"/>
        </w:rPr>
      </w:pPr>
      <w:r w:rsidRPr="00CF0AD4">
        <w:rPr>
          <w:rFonts w:eastAsia="Times New Roman"/>
        </w:rPr>
        <w:t>SWOT analysis is an essential tool for any business when it comes to decision making process. Blessings House Mobile Nursing Home intends to use SWOT analysis for the two firms in which it has investment interests. The purpose of this paper is to illustrate the strengths, weaknesses, opportunities, and threats of Horsman Social Supermarket and Drizzling Investments.</w:t>
      </w:r>
    </w:p>
    <w:p w14:paraId="78C9A9BD" w14:textId="77777777" w:rsidR="00FA0D89" w:rsidRPr="00FA0D89" w:rsidRDefault="00FA0D89" w:rsidP="00FA0D89">
      <w:pPr>
        <w:spacing w:line="480" w:lineRule="auto"/>
        <w:ind w:firstLine="720"/>
        <w:jc w:val="center"/>
        <w:rPr>
          <w:rFonts w:eastAsia="Times New Roman"/>
          <w:b/>
          <w:bCs/>
        </w:rPr>
      </w:pPr>
      <w:r w:rsidRPr="00FA0D89">
        <w:rPr>
          <w:rFonts w:eastAsia="Times New Roman"/>
          <w:b/>
          <w:bCs/>
        </w:rPr>
        <w:t>Social Supermarket SWOT Analysis</w:t>
      </w:r>
    </w:p>
    <w:p w14:paraId="348B4E84" w14:textId="6B81B490" w:rsidR="00CF0AD4" w:rsidRPr="00FA0D89" w:rsidRDefault="00CF0AD4" w:rsidP="00FA0D89">
      <w:pPr>
        <w:spacing w:line="480" w:lineRule="auto"/>
        <w:ind w:firstLine="720"/>
        <w:rPr>
          <w:rFonts w:eastAsia="Times New Roman"/>
        </w:rPr>
      </w:pPr>
      <w:r w:rsidRPr="00FA0D89">
        <w:rPr>
          <w:rFonts w:eastAsia="Times New Roman"/>
          <w:bCs/>
        </w:rPr>
        <w:t>Strengths</w:t>
      </w:r>
    </w:p>
    <w:p w14:paraId="5F4FFBD6" w14:textId="58C0F1F3" w:rsidR="00CF0AD4" w:rsidRPr="00CF0AD4" w:rsidRDefault="00CF0AD4" w:rsidP="00CF0AD4">
      <w:pPr>
        <w:spacing w:line="480" w:lineRule="auto"/>
        <w:ind w:firstLine="720"/>
        <w:rPr>
          <w:rFonts w:eastAsia="Times New Roman"/>
        </w:rPr>
      </w:pPr>
      <w:r w:rsidRPr="00CF0AD4">
        <w:rPr>
          <w:rFonts w:eastAsia="Times New Roman"/>
        </w:rPr>
        <w:t xml:space="preserve">Horsman Social Supermarket comprises of several attributes that </w:t>
      </w:r>
      <w:r>
        <w:rPr>
          <w:rFonts w:eastAsia="Times New Roman"/>
        </w:rPr>
        <w:t>allows</w:t>
      </w:r>
      <w:r w:rsidRPr="00CF0AD4">
        <w:rPr>
          <w:rFonts w:eastAsia="Times New Roman"/>
        </w:rPr>
        <w:t xml:space="preserve"> it an upper hand in comparison to other similar businesses. These strong points include the provision of alternative options to food stamps, helping the population of the United States that are striving to fight hunger, as well as taking surplus food and selling it at a discount (Michelini et al., 2018). These strengths are also coupled by the fact that the Horsman Social Supermarket will be among the pioneers of social supermarkets in the United States.</w:t>
      </w:r>
    </w:p>
    <w:p w14:paraId="1EBD9584" w14:textId="77777777" w:rsidR="00CF0AD4" w:rsidRPr="00CF0AD4" w:rsidRDefault="00CF0AD4" w:rsidP="00CF0AD4">
      <w:pPr>
        <w:spacing w:line="480" w:lineRule="auto"/>
        <w:rPr>
          <w:rFonts w:eastAsia="Times New Roman"/>
        </w:rPr>
      </w:pPr>
    </w:p>
    <w:p w14:paraId="6A1DB65A" w14:textId="77777777" w:rsidR="00CF0AD4" w:rsidRPr="00FA0D89" w:rsidRDefault="00CF0AD4" w:rsidP="00FA0D89">
      <w:pPr>
        <w:spacing w:line="480" w:lineRule="auto"/>
        <w:ind w:firstLine="720"/>
        <w:rPr>
          <w:rFonts w:eastAsia="Times New Roman"/>
        </w:rPr>
      </w:pPr>
      <w:r w:rsidRPr="00FA0D89">
        <w:rPr>
          <w:rFonts w:eastAsia="Times New Roman"/>
          <w:bCs/>
        </w:rPr>
        <w:t>Weaknesses</w:t>
      </w:r>
    </w:p>
    <w:p w14:paraId="6ACEB368" w14:textId="77777777" w:rsidR="00CF0AD4" w:rsidRPr="00CF0AD4" w:rsidRDefault="00CF0AD4" w:rsidP="00CF0AD4">
      <w:pPr>
        <w:spacing w:line="480" w:lineRule="auto"/>
        <w:ind w:firstLine="720"/>
        <w:rPr>
          <w:rFonts w:eastAsia="Times New Roman"/>
        </w:rPr>
      </w:pPr>
      <w:r w:rsidRPr="00CF0AD4">
        <w:rPr>
          <w:rFonts w:eastAsia="Times New Roman"/>
        </w:rPr>
        <w:t>Horsman Social Supermarket, on the other hand, identifies its weaknesses from a different perspective. These weaknesses include the difficulty of recognizing the segment of the population that requires food discounts, the venture’s reliability on grocery stores, and the unavailability of funding sources (Michelini et al., 2018). Identification of these weaknesses acts as a move to curb any vulnerability in the coming years.</w:t>
      </w:r>
    </w:p>
    <w:p w14:paraId="16C59FE9" w14:textId="77777777" w:rsidR="00CF0AD4" w:rsidRPr="00FA0D89" w:rsidRDefault="00CF0AD4" w:rsidP="00FA0D89">
      <w:pPr>
        <w:spacing w:line="480" w:lineRule="auto"/>
        <w:ind w:firstLine="720"/>
        <w:rPr>
          <w:rFonts w:eastAsia="Times New Roman"/>
        </w:rPr>
      </w:pPr>
      <w:r w:rsidRPr="00FA0D89">
        <w:rPr>
          <w:rFonts w:eastAsia="Times New Roman"/>
          <w:bCs/>
        </w:rPr>
        <w:t>Opportunities</w:t>
      </w:r>
    </w:p>
    <w:p w14:paraId="74A6BC35" w14:textId="77777777" w:rsidR="00CF0AD4" w:rsidRPr="00CF0AD4" w:rsidRDefault="00CF0AD4" w:rsidP="00CF0AD4">
      <w:pPr>
        <w:spacing w:line="480" w:lineRule="auto"/>
        <w:ind w:firstLine="720"/>
        <w:rPr>
          <w:rFonts w:eastAsia="Times New Roman"/>
        </w:rPr>
      </w:pPr>
      <w:r w:rsidRPr="00CF0AD4">
        <w:rPr>
          <w:rFonts w:eastAsia="Times New Roman"/>
        </w:rPr>
        <w:t>Horsman Social Supermarket intends to provide opportunities which comprise of empowering and educating its members through workshops as well as providing affordable food following the tightening of food stamps rules (Michelini et al., 2018).</w:t>
      </w:r>
    </w:p>
    <w:p w14:paraId="3B8F3836" w14:textId="77777777" w:rsidR="00CF0AD4" w:rsidRPr="00CF0AD4" w:rsidRDefault="00CF0AD4" w:rsidP="00CF0AD4">
      <w:pPr>
        <w:spacing w:line="480" w:lineRule="auto"/>
        <w:ind w:firstLine="720"/>
        <w:rPr>
          <w:rFonts w:eastAsia="Times New Roman"/>
        </w:rPr>
      </w:pPr>
    </w:p>
    <w:p w14:paraId="006C4C4F" w14:textId="77777777" w:rsidR="00CF0AD4" w:rsidRPr="00FA0D89" w:rsidRDefault="00CF0AD4" w:rsidP="00FA0D89">
      <w:pPr>
        <w:spacing w:line="480" w:lineRule="auto"/>
        <w:ind w:firstLine="720"/>
        <w:rPr>
          <w:rFonts w:eastAsia="Times New Roman"/>
        </w:rPr>
      </w:pPr>
      <w:r w:rsidRPr="00FA0D89">
        <w:rPr>
          <w:rFonts w:eastAsia="Times New Roman"/>
          <w:bCs/>
        </w:rPr>
        <w:t>Threats</w:t>
      </w:r>
    </w:p>
    <w:p w14:paraId="55B81A43" w14:textId="77777777" w:rsidR="00CF0AD4" w:rsidRPr="00CF0AD4" w:rsidRDefault="00CF0AD4" w:rsidP="00CF0AD4">
      <w:pPr>
        <w:spacing w:line="480" w:lineRule="auto"/>
        <w:ind w:firstLine="720"/>
        <w:rPr>
          <w:rFonts w:eastAsia="Times New Roman"/>
        </w:rPr>
      </w:pPr>
      <w:r w:rsidRPr="00CF0AD4">
        <w:rPr>
          <w:rFonts w:eastAsia="Times New Roman"/>
        </w:rPr>
        <w:t>Horsman Social Supermarket’s threats include unavailability of surplus food from society and competition from groceries, food stamps, and local farmers.</w:t>
      </w:r>
    </w:p>
    <w:p w14:paraId="5F668845" w14:textId="77777777" w:rsidR="00FA0D89" w:rsidRPr="00FA0D89" w:rsidRDefault="00FA0D89" w:rsidP="00FA0D89">
      <w:pPr>
        <w:spacing w:line="480" w:lineRule="auto"/>
        <w:ind w:firstLine="720"/>
        <w:jc w:val="center"/>
        <w:rPr>
          <w:rFonts w:eastAsia="Times New Roman"/>
          <w:b/>
        </w:rPr>
      </w:pPr>
      <w:r w:rsidRPr="00FA0D89">
        <w:rPr>
          <w:rFonts w:eastAsia="Times New Roman"/>
          <w:b/>
        </w:rPr>
        <w:t>Drizzling Investments SWOT Analysis</w:t>
      </w:r>
    </w:p>
    <w:p w14:paraId="36D577D3" w14:textId="7B86ADE2" w:rsidR="00FA0D89" w:rsidRDefault="00FA0D89" w:rsidP="00FA0D89">
      <w:pPr>
        <w:spacing w:line="480" w:lineRule="auto"/>
        <w:ind w:firstLine="720"/>
        <w:rPr>
          <w:rFonts w:eastAsia="Times New Roman"/>
        </w:rPr>
      </w:pPr>
      <w:r>
        <w:rPr>
          <w:rFonts w:eastAsia="Times New Roman"/>
        </w:rPr>
        <w:t>Strengths</w:t>
      </w:r>
    </w:p>
    <w:p w14:paraId="329C7230" w14:textId="3662B212" w:rsidR="00FA0D89" w:rsidRDefault="00FA0D89" w:rsidP="00FA0D89">
      <w:pPr>
        <w:spacing w:line="480" w:lineRule="auto"/>
        <w:ind w:firstLine="720"/>
        <w:rPr>
          <w:rFonts w:eastAsia="Times New Roman"/>
        </w:rPr>
      </w:pPr>
      <w:r w:rsidRPr="00CF0AD4">
        <w:rPr>
          <w:rFonts w:eastAsia="Times New Roman"/>
        </w:rPr>
        <w:t>Drizzling Investments, which is the other company that has captured Blessings House Mobile Nursing Home investment interests, also has its strengths. Among these strengths is the capability to hire a reliable and aggressive managerial team that is focused on achieving the goal. Another advantage is the company’s unique marketing strategy that is extremely vigorous. The business’ target being to provide clean water to the people in the locality in which they are based, they will have an advantage over other companies as they will be physically delivering the water, enhancing interactions.</w:t>
      </w:r>
    </w:p>
    <w:p w14:paraId="69F8F0B8" w14:textId="77777777" w:rsidR="00FA0D89" w:rsidRDefault="00FA0D89" w:rsidP="00FA0D89">
      <w:pPr>
        <w:spacing w:line="480" w:lineRule="auto"/>
        <w:ind w:firstLine="720"/>
        <w:rPr>
          <w:rFonts w:eastAsia="Times New Roman"/>
        </w:rPr>
      </w:pPr>
    </w:p>
    <w:p w14:paraId="0E37BF27" w14:textId="77777777" w:rsidR="00FA0D89" w:rsidRDefault="00FA0D89" w:rsidP="00FA0D89">
      <w:pPr>
        <w:spacing w:line="480" w:lineRule="auto"/>
        <w:ind w:firstLine="720"/>
        <w:rPr>
          <w:rFonts w:eastAsia="Times New Roman"/>
        </w:rPr>
      </w:pPr>
    </w:p>
    <w:p w14:paraId="3DF08E8E" w14:textId="77777777" w:rsidR="00FA0D89" w:rsidRDefault="00FA0D89" w:rsidP="00FA0D89">
      <w:pPr>
        <w:spacing w:line="480" w:lineRule="auto"/>
        <w:ind w:firstLine="720"/>
        <w:rPr>
          <w:rFonts w:eastAsia="Times New Roman"/>
        </w:rPr>
      </w:pPr>
      <w:r>
        <w:rPr>
          <w:rFonts w:eastAsia="Times New Roman"/>
        </w:rPr>
        <w:t>Weaknesses</w:t>
      </w:r>
    </w:p>
    <w:p w14:paraId="1C853936" w14:textId="5099B16E" w:rsidR="00FA0D89" w:rsidRDefault="00FA0D89" w:rsidP="00FA0D89">
      <w:pPr>
        <w:spacing w:line="480" w:lineRule="auto"/>
        <w:ind w:firstLine="720"/>
        <w:rPr>
          <w:rFonts w:eastAsia="Times New Roman"/>
        </w:rPr>
      </w:pPr>
      <w:r w:rsidRPr="00CF0AD4">
        <w:rPr>
          <w:rFonts w:eastAsia="Times New Roman"/>
        </w:rPr>
        <w:t>Drizzling Investments have several weaknesses, including a variety of employees who have less knowledge and less experience in social entrepreneurship. Inadequate startup capital is another weakness, as it requires reliable funding due to its high capital intensity (Halberstadt &amp; Kraus, 2016), as well as fear of inability to gain trust amongst key investors due to its humble beginnings.</w:t>
      </w:r>
    </w:p>
    <w:p w14:paraId="107C9C2B" w14:textId="77777777" w:rsidR="00FA0D89" w:rsidRDefault="00FA0D89" w:rsidP="00FA0D89">
      <w:pPr>
        <w:spacing w:line="480" w:lineRule="auto"/>
        <w:ind w:firstLine="720"/>
        <w:rPr>
          <w:rFonts w:eastAsia="Times New Roman"/>
        </w:rPr>
      </w:pPr>
      <w:r>
        <w:rPr>
          <w:rFonts w:eastAsia="Times New Roman"/>
        </w:rPr>
        <w:t>Opportunities</w:t>
      </w:r>
    </w:p>
    <w:p w14:paraId="4378E882" w14:textId="177FE867" w:rsidR="00FA0D89" w:rsidRDefault="00FA0D89" w:rsidP="00FA0D89">
      <w:pPr>
        <w:spacing w:line="480" w:lineRule="auto"/>
        <w:ind w:firstLine="720"/>
        <w:rPr>
          <w:rFonts w:eastAsia="Times New Roman"/>
        </w:rPr>
      </w:pPr>
      <w:r w:rsidRPr="00CF0AD4">
        <w:rPr>
          <w:rFonts w:eastAsia="Times New Roman"/>
        </w:rPr>
        <w:t>Opportunities presented by the environment in which Drizzling Investments plans to work, involve the considerations of the managers to have activists who will campaign for clean waters and condemn corrupted brands (Halberstadt &amp; Kraus, 2016). Moreover, the people who will benefit from the venture may be persuaded to be part of the implementation of the business activities. There is also an opportunity to acquire investors due to its goal of providing a solution to the community.</w:t>
      </w:r>
    </w:p>
    <w:p w14:paraId="51D4B6DD" w14:textId="77777777" w:rsidR="00FA0D89" w:rsidRDefault="00FA0D89" w:rsidP="00FA0D89">
      <w:pPr>
        <w:spacing w:line="480" w:lineRule="auto"/>
        <w:ind w:firstLine="720"/>
        <w:rPr>
          <w:rFonts w:eastAsia="Times New Roman"/>
        </w:rPr>
      </w:pPr>
      <w:r>
        <w:rPr>
          <w:rFonts w:eastAsia="Times New Roman"/>
        </w:rPr>
        <w:t>Threats</w:t>
      </w:r>
    </w:p>
    <w:p w14:paraId="2C584826" w14:textId="68782D0D" w:rsidR="00FA0D89" w:rsidRDefault="00FA0D89" w:rsidP="00FA0D89">
      <w:pPr>
        <w:spacing w:line="480" w:lineRule="auto"/>
        <w:ind w:firstLine="720"/>
        <w:rPr>
          <w:rFonts w:eastAsia="Times New Roman"/>
        </w:rPr>
      </w:pPr>
      <w:r w:rsidRPr="00CF0AD4">
        <w:rPr>
          <w:rFonts w:eastAsia="Times New Roman"/>
        </w:rPr>
        <w:t>Drizzling Investments have also identified its threats, which include adverse political atmospheres, which may influence the development of the venture (Halberstadt &amp; Kraus, 2016). Besides, in the location of operation, several other social enterprises have been set up, providing stiff competition. They might also fail to acquire the needed technological devices to assist in offering their services most efficiently.</w:t>
      </w:r>
    </w:p>
    <w:p w14:paraId="1CC0D280" w14:textId="77777777" w:rsidR="00FA0D89" w:rsidRPr="00CF0AD4" w:rsidRDefault="00FA0D89" w:rsidP="00FA0D89">
      <w:pPr>
        <w:spacing w:line="480" w:lineRule="auto"/>
        <w:ind w:firstLine="720"/>
        <w:rPr>
          <w:rFonts w:eastAsia="Times New Roman"/>
        </w:rPr>
      </w:pPr>
    </w:p>
    <w:p w14:paraId="2042F334" w14:textId="77777777" w:rsidR="00FA0D89" w:rsidRPr="00CF0AD4" w:rsidRDefault="00FA0D89" w:rsidP="00FA0D89">
      <w:pPr>
        <w:spacing w:line="480" w:lineRule="auto"/>
        <w:ind w:firstLine="720"/>
        <w:rPr>
          <w:rFonts w:eastAsia="Times New Roman"/>
        </w:rPr>
      </w:pPr>
    </w:p>
    <w:p w14:paraId="7671060D" w14:textId="77777777" w:rsidR="00CF0AD4" w:rsidRPr="00CF0AD4" w:rsidRDefault="00CF0AD4" w:rsidP="00CF0AD4">
      <w:pPr>
        <w:spacing w:line="480" w:lineRule="auto"/>
        <w:ind w:firstLine="720"/>
        <w:jc w:val="center"/>
        <w:rPr>
          <w:rFonts w:eastAsia="Times New Roman"/>
        </w:rPr>
      </w:pPr>
      <w:r w:rsidRPr="00CF0AD4">
        <w:rPr>
          <w:rFonts w:eastAsia="Times New Roman"/>
          <w:b/>
          <w:bCs/>
        </w:rPr>
        <w:t>Conclusion</w:t>
      </w:r>
    </w:p>
    <w:p w14:paraId="69021E73" w14:textId="77777777" w:rsidR="00CF0AD4" w:rsidRPr="00CF0AD4" w:rsidRDefault="00CF0AD4" w:rsidP="00CF0AD4">
      <w:pPr>
        <w:spacing w:line="480" w:lineRule="auto"/>
        <w:ind w:firstLine="720"/>
        <w:rPr>
          <w:rFonts w:eastAsia="Times New Roman"/>
        </w:rPr>
      </w:pPr>
      <w:r w:rsidRPr="00CF0AD4">
        <w:rPr>
          <w:rFonts w:eastAsia="Times New Roman"/>
        </w:rPr>
        <w:t>According to the SWOT analysis provided above, Blessings House Mobile Nursing Home decides to offer total funding of $500,000 to the two business ventures, each receiving $250,000. The business plans tabled by the two illustrate a dream that is indirectly parallel to the goals of Blessings House Mobile Nursing Home. The nursing home’s interests are to provide care for the elderly, the poor, and the sick while the two businesses offer a solution to these three groups.</w:t>
      </w:r>
    </w:p>
    <w:p w14:paraId="3AD8917C" w14:textId="4D5EC050" w:rsidR="008F1CC1" w:rsidRDefault="008F1CC1" w:rsidP="00CF0AD4">
      <w:pPr>
        <w:spacing w:line="480" w:lineRule="auto"/>
        <w:ind w:firstLine="720"/>
        <w:rPr>
          <w:rFonts w:eastAsia="Times New Roman"/>
        </w:rPr>
      </w:pPr>
      <w:r>
        <w:rPr>
          <w:rFonts w:eastAsia="Times New Roman"/>
        </w:rPr>
        <w:br w:type="page"/>
      </w:r>
    </w:p>
    <w:p w14:paraId="01B97547" w14:textId="5A0AFA27" w:rsidR="00501975" w:rsidRDefault="00501975" w:rsidP="00133EDD">
      <w:pPr>
        <w:jc w:val="center"/>
        <w:rPr>
          <w:rFonts w:eastAsia="Times New Roman"/>
        </w:rPr>
      </w:pPr>
      <w:r>
        <w:rPr>
          <w:rFonts w:eastAsia="Times New Roman"/>
        </w:rPr>
        <w:t>References</w:t>
      </w:r>
    </w:p>
    <w:p w14:paraId="7CF28B87" w14:textId="575093D3" w:rsidR="008F1CC1" w:rsidRDefault="005D7EFC" w:rsidP="005D7EFC">
      <w:pPr>
        <w:spacing w:line="480" w:lineRule="auto"/>
        <w:ind w:left="720" w:hanging="720"/>
        <w:rPr>
          <w:rFonts w:eastAsia="Times New Roman"/>
        </w:rPr>
      </w:pPr>
      <w:r w:rsidRPr="005D7EFC">
        <w:rPr>
          <w:rFonts w:eastAsia="Times New Roman"/>
        </w:rPr>
        <w:t>Halberstadt, J., &amp; Kraus, S. (2016). Social entrepreneurship: the foundation of tomorrow's commercial business models?. </w:t>
      </w:r>
      <w:r w:rsidRPr="005D7EFC">
        <w:rPr>
          <w:rFonts w:eastAsia="Times New Roman"/>
          <w:i/>
          <w:iCs/>
        </w:rPr>
        <w:t>International Journal of Entrepreneurial Venturing</w:t>
      </w:r>
      <w:r w:rsidRPr="005D7EFC">
        <w:rPr>
          <w:rFonts w:eastAsia="Times New Roman"/>
        </w:rPr>
        <w:t>, </w:t>
      </w:r>
      <w:r w:rsidRPr="005D7EFC">
        <w:rPr>
          <w:rFonts w:eastAsia="Times New Roman"/>
          <w:i/>
          <w:iCs/>
        </w:rPr>
        <w:t>8</w:t>
      </w:r>
      <w:r w:rsidRPr="005D7EFC">
        <w:rPr>
          <w:rFonts w:eastAsia="Times New Roman"/>
        </w:rPr>
        <w:t>(3), 261-279.</w:t>
      </w:r>
    </w:p>
    <w:p w14:paraId="02EC244B" w14:textId="18F4A055" w:rsidR="005D7EFC" w:rsidRDefault="005D7EFC" w:rsidP="005D7EFC">
      <w:pPr>
        <w:spacing w:line="480" w:lineRule="auto"/>
        <w:ind w:left="720" w:hanging="720"/>
        <w:rPr>
          <w:rFonts w:eastAsia="Times New Roman"/>
        </w:rPr>
      </w:pPr>
      <w:r w:rsidRPr="005D7EFC">
        <w:rPr>
          <w:rFonts w:eastAsia="Times New Roman"/>
        </w:rPr>
        <w:t>Michelini, Laura, Ludovica Principato, and Gennaro Iasevoli. "Understanding food sharing models to tackle sustainability challenges." </w:t>
      </w:r>
      <w:r w:rsidRPr="005D7EFC">
        <w:rPr>
          <w:rFonts w:eastAsia="Times New Roman"/>
          <w:i/>
          <w:iCs/>
        </w:rPr>
        <w:t>Ecological Economics</w:t>
      </w:r>
      <w:r w:rsidRPr="005D7EFC">
        <w:rPr>
          <w:rFonts w:eastAsia="Times New Roman"/>
        </w:rPr>
        <w:t> 145 (2018): 205-217.</w:t>
      </w:r>
    </w:p>
    <w:sectPr w:rsidR="005D7EFC"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8E6FB7" w14:textId="77777777" w:rsidR="00D6495B" w:rsidRDefault="00D6495B">
      <w:pPr>
        <w:spacing w:after="0" w:line="240" w:lineRule="auto"/>
      </w:pPr>
      <w:r>
        <w:separator/>
      </w:r>
    </w:p>
  </w:endnote>
  <w:endnote w:type="continuationSeparator" w:id="0">
    <w:p w14:paraId="08B1437E" w14:textId="77777777" w:rsidR="00D6495B" w:rsidRDefault="00D64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371FCB" w14:textId="77777777" w:rsidR="00D6495B" w:rsidRDefault="00D6495B">
      <w:pPr>
        <w:spacing w:after="0" w:line="240" w:lineRule="auto"/>
      </w:pPr>
      <w:r>
        <w:separator/>
      </w:r>
    </w:p>
  </w:footnote>
  <w:footnote w:type="continuationSeparator" w:id="0">
    <w:p w14:paraId="486E4FB2" w14:textId="77777777" w:rsidR="00D6495B" w:rsidRDefault="00D649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7BEE75E5" w:rsidR="000C5964" w:rsidRDefault="006822DD">
    <w:pPr>
      <w:pStyle w:val="Header"/>
    </w:pPr>
    <w:r>
      <w:t>PEER INVESTMENT</w:t>
    </w:r>
    <w:r w:rsidR="00C359D7" w:rsidRPr="00C359D7">
      <w:t xml:space="preserve"> SWOT ANALYSIS</w:t>
    </w:r>
    <w:r w:rsidR="00124E96">
      <w:tab/>
    </w:r>
    <w:r w:rsidR="00124E96">
      <w:tab/>
    </w:r>
    <w:r w:rsidR="00124E96">
      <w:fldChar w:fldCharType="begin"/>
    </w:r>
    <w:r w:rsidR="00124E96">
      <w:instrText xml:space="preserve"> PAGE   \* MERGEFORMAT </w:instrText>
    </w:r>
    <w:r w:rsidR="00124E96">
      <w:fldChar w:fldCharType="separate"/>
    </w:r>
    <w:r w:rsidR="00335488">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71ED5CB" w:rsidR="000C5964" w:rsidRDefault="00124E96" w:rsidP="000C5964">
    <w:pPr>
      <w:pStyle w:val="Header"/>
    </w:pPr>
    <w:r>
      <w:t xml:space="preserve">Running head: </w:t>
    </w:r>
    <w:r w:rsidR="00C359D7" w:rsidRPr="00C359D7">
      <w:t>PEER INVESTMENT SWOT ANALYSIS</w:t>
    </w:r>
    <w:r w:rsidR="00A71DEA">
      <w:t xml:space="preserve">                       </w:t>
    </w:r>
    <w:r>
      <w:tab/>
    </w:r>
    <w:r>
      <w:fldChar w:fldCharType="begin"/>
    </w:r>
    <w:r>
      <w:instrText xml:space="preserve"> PAGE   \* MERGEFORMAT </w:instrText>
    </w:r>
    <w:r>
      <w:fldChar w:fldCharType="separate"/>
    </w:r>
    <w:r w:rsidR="00D6495B">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D37"/>
    <w:rsid w:val="00012B23"/>
    <w:rsid w:val="000609DC"/>
    <w:rsid w:val="000858DE"/>
    <w:rsid w:val="000942A1"/>
    <w:rsid w:val="000A2EBD"/>
    <w:rsid w:val="000C5558"/>
    <w:rsid w:val="000C5964"/>
    <w:rsid w:val="000E26FC"/>
    <w:rsid w:val="000E586C"/>
    <w:rsid w:val="000F0D68"/>
    <w:rsid w:val="000F2789"/>
    <w:rsid w:val="00112534"/>
    <w:rsid w:val="00120FC6"/>
    <w:rsid w:val="00123208"/>
    <w:rsid w:val="00124E96"/>
    <w:rsid w:val="00127E8D"/>
    <w:rsid w:val="00133EDD"/>
    <w:rsid w:val="00136F6E"/>
    <w:rsid w:val="001717BF"/>
    <w:rsid w:val="00190C26"/>
    <w:rsid w:val="001922D4"/>
    <w:rsid w:val="001954F1"/>
    <w:rsid w:val="00196AB8"/>
    <w:rsid w:val="001B656B"/>
    <w:rsid w:val="001B78AC"/>
    <w:rsid w:val="001C0F6F"/>
    <w:rsid w:val="001C3356"/>
    <w:rsid w:val="001C514F"/>
    <w:rsid w:val="001E69BA"/>
    <w:rsid w:val="00200448"/>
    <w:rsid w:val="00205334"/>
    <w:rsid w:val="00205F60"/>
    <w:rsid w:val="00235EF5"/>
    <w:rsid w:val="00240E41"/>
    <w:rsid w:val="00250936"/>
    <w:rsid w:val="0025568D"/>
    <w:rsid w:val="00274616"/>
    <w:rsid w:val="00283739"/>
    <w:rsid w:val="00283A80"/>
    <w:rsid w:val="002A00CA"/>
    <w:rsid w:val="002A3E80"/>
    <w:rsid w:val="002A4D5D"/>
    <w:rsid w:val="002E42EA"/>
    <w:rsid w:val="002E5CCB"/>
    <w:rsid w:val="002F6077"/>
    <w:rsid w:val="00312ECD"/>
    <w:rsid w:val="003204D0"/>
    <w:rsid w:val="00325EA2"/>
    <w:rsid w:val="00335488"/>
    <w:rsid w:val="00341A79"/>
    <w:rsid w:val="00391085"/>
    <w:rsid w:val="003A4C4D"/>
    <w:rsid w:val="003C0699"/>
    <w:rsid w:val="003C5096"/>
    <w:rsid w:val="003E0DF3"/>
    <w:rsid w:val="00400081"/>
    <w:rsid w:val="004011FA"/>
    <w:rsid w:val="0041003C"/>
    <w:rsid w:val="00411C50"/>
    <w:rsid w:val="0042628F"/>
    <w:rsid w:val="00430421"/>
    <w:rsid w:val="004336C7"/>
    <w:rsid w:val="00442300"/>
    <w:rsid w:val="00445721"/>
    <w:rsid w:val="004520B7"/>
    <w:rsid w:val="004575B8"/>
    <w:rsid w:val="004856FF"/>
    <w:rsid w:val="004B61FF"/>
    <w:rsid w:val="005007BC"/>
    <w:rsid w:val="00501975"/>
    <w:rsid w:val="005178DE"/>
    <w:rsid w:val="00524E71"/>
    <w:rsid w:val="005262DA"/>
    <w:rsid w:val="00542539"/>
    <w:rsid w:val="00553AF1"/>
    <w:rsid w:val="00562A86"/>
    <w:rsid w:val="005935C0"/>
    <w:rsid w:val="00596F43"/>
    <w:rsid w:val="005C6DE9"/>
    <w:rsid w:val="005D7EFC"/>
    <w:rsid w:val="005E0657"/>
    <w:rsid w:val="005F40C9"/>
    <w:rsid w:val="006128AD"/>
    <w:rsid w:val="0061517F"/>
    <w:rsid w:val="00642861"/>
    <w:rsid w:val="006518DD"/>
    <w:rsid w:val="0066468A"/>
    <w:rsid w:val="0067082D"/>
    <w:rsid w:val="0068160D"/>
    <w:rsid w:val="006822DD"/>
    <w:rsid w:val="006A2773"/>
    <w:rsid w:val="006A4049"/>
    <w:rsid w:val="006A69D2"/>
    <w:rsid w:val="006E4A0E"/>
    <w:rsid w:val="006E6301"/>
    <w:rsid w:val="006E68AE"/>
    <w:rsid w:val="006E72B6"/>
    <w:rsid w:val="00755BAC"/>
    <w:rsid w:val="007907D2"/>
    <w:rsid w:val="0079459F"/>
    <w:rsid w:val="00795EA9"/>
    <w:rsid w:val="007B3F98"/>
    <w:rsid w:val="007B6949"/>
    <w:rsid w:val="007E7A9F"/>
    <w:rsid w:val="00801129"/>
    <w:rsid w:val="00833C9A"/>
    <w:rsid w:val="00861423"/>
    <w:rsid w:val="00896229"/>
    <w:rsid w:val="008978BA"/>
    <w:rsid w:val="008B14DF"/>
    <w:rsid w:val="008D4196"/>
    <w:rsid w:val="008E0EC4"/>
    <w:rsid w:val="008F1CC1"/>
    <w:rsid w:val="008F4073"/>
    <w:rsid w:val="008F49DB"/>
    <w:rsid w:val="00901608"/>
    <w:rsid w:val="00923D6D"/>
    <w:rsid w:val="00954BED"/>
    <w:rsid w:val="009649B3"/>
    <w:rsid w:val="00980198"/>
    <w:rsid w:val="00983470"/>
    <w:rsid w:val="00983CF5"/>
    <w:rsid w:val="00990F8C"/>
    <w:rsid w:val="009942C3"/>
    <w:rsid w:val="009A6A64"/>
    <w:rsid w:val="009B0442"/>
    <w:rsid w:val="009C5022"/>
    <w:rsid w:val="009D56BD"/>
    <w:rsid w:val="00A10525"/>
    <w:rsid w:val="00A145F7"/>
    <w:rsid w:val="00A21CAB"/>
    <w:rsid w:val="00A23F14"/>
    <w:rsid w:val="00A305D2"/>
    <w:rsid w:val="00A55035"/>
    <w:rsid w:val="00A71DEA"/>
    <w:rsid w:val="00A7614D"/>
    <w:rsid w:val="00A83F47"/>
    <w:rsid w:val="00A85854"/>
    <w:rsid w:val="00A91C43"/>
    <w:rsid w:val="00A9271E"/>
    <w:rsid w:val="00A935B4"/>
    <w:rsid w:val="00A95C54"/>
    <w:rsid w:val="00AA0EB5"/>
    <w:rsid w:val="00AA6F5A"/>
    <w:rsid w:val="00AC5101"/>
    <w:rsid w:val="00AD42BE"/>
    <w:rsid w:val="00AD78D0"/>
    <w:rsid w:val="00B115FA"/>
    <w:rsid w:val="00B27205"/>
    <w:rsid w:val="00B3541B"/>
    <w:rsid w:val="00B43456"/>
    <w:rsid w:val="00B651CF"/>
    <w:rsid w:val="00B82522"/>
    <w:rsid w:val="00BA4EAA"/>
    <w:rsid w:val="00BE4DC5"/>
    <w:rsid w:val="00C01E80"/>
    <w:rsid w:val="00C24DE0"/>
    <w:rsid w:val="00C359D7"/>
    <w:rsid w:val="00C66B5D"/>
    <w:rsid w:val="00C82270"/>
    <w:rsid w:val="00C82553"/>
    <w:rsid w:val="00C84394"/>
    <w:rsid w:val="00CB3EEF"/>
    <w:rsid w:val="00CB7F83"/>
    <w:rsid w:val="00CD2831"/>
    <w:rsid w:val="00CF0AD4"/>
    <w:rsid w:val="00D00FF6"/>
    <w:rsid w:val="00D40778"/>
    <w:rsid w:val="00D44D70"/>
    <w:rsid w:val="00D4567A"/>
    <w:rsid w:val="00D6495B"/>
    <w:rsid w:val="00D824D6"/>
    <w:rsid w:val="00DB3A96"/>
    <w:rsid w:val="00DC03AF"/>
    <w:rsid w:val="00DD0658"/>
    <w:rsid w:val="00DF099D"/>
    <w:rsid w:val="00DF46A2"/>
    <w:rsid w:val="00E24610"/>
    <w:rsid w:val="00E31502"/>
    <w:rsid w:val="00E46D5E"/>
    <w:rsid w:val="00E83A30"/>
    <w:rsid w:val="00E87F5E"/>
    <w:rsid w:val="00E906C8"/>
    <w:rsid w:val="00EA5F71"/>
    <w:rsid w:val="00EB70AD"/>
    <w:rsid w:val="00EE60AE"/>
    <w:rsid w:val="00EF3A9B"/>
    <w:rsid w:val="00F03B24"/>
    <w:rsid w:val="00F707FD"/>
    <w:rsid w:val="00F75903"/>
    <w:rsid w:val="00F825B2"/>
    <w:rsid w:val="00FA0D89"/>
    <w:rsid w:val="00FC5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09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CFA4B-CA2D-4CBB-85B2-F57DA3E00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2020-03-06T03:31:00Z</dcterms:created>
  <dcterms:modified xsi:type="dcterms:W3CDTF">2020-03-06T03:31:00Z</dcterms:modified>
</cp:coreProperties>
</file>